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321</w:t>
      </w:r>
    </w:p>
    <w:p>
      <w:r>
        <w:t>Bundesgericht (BGE), 1996-08-21, FR</w:t>
      </w:r>
    </w:p>
    <w:p>
      <w:r>
        <w:rPr>
          <w:b/>
        </w:rPr>
        <w:t xml:space="preserve">Quelle: </w:t>
      </w:r>
      <w:r>
        <w:t>https://mcp.opencaselaw.ch/entscheid/bge_122 III 321</w:t>
      </w:r>
    </w:p>
    <w:p>
      <w:r>
        <w:t>FR: ATF 122 III 321</w:t>
      </w:r>
    </w:p>
    <w:p>
      <w:r>
        <w:t>IT: DTF 122 III 321</w:t>
      </w:r>
    </w:p>
    <w:p>
      <w:pPr>
        <w:pStyle w:val="Heading2"/>
      </w:pPr>
      <w:r>
        <w:t>Regeste</w:t>
      </w:r>
    </w:p>
    <w:p>
      <w:r>
        <w:t>Regeste Bankgarantie. Da der Zweck einer selbständigen Garantie in der Deckung eines bestimmten Risikos und nicht in einer blossen Zahlung besteht, ist die Beanspruchung missbräuchlich im Sinne von Art. 2 ZGB, wenn ein Anspruch gedeckt werden soll, dessen Absicherung mit der Garantie nicht bezweckt war. Die Bank ist zur Verweigerung ihrer Leistung verpflichtet, falls der Missbrauch offensichtlich ist.</w:t>
      </w:r>
    </w:p>
    <w:p>
      <w:pPr>
        <w:pStyle w:val="Heading2"/>
      </w:pPr>
      <w:r>
        <w:t>Erwägungen</w:t>
      </w:r>
    </w:p>
    <w:p>
      <w:r>
        <w:rPr>
          <w:b/>
        </w:rPr>
        <w:t>E. 4</w:t>
      </w:r>
    </w:p>
    <w:p>
      <w:r>
        <w:t>La défenderesse conclut au rejet du recours pour le motif, déjà évoqué, que, si la demanderesse avait fait appel aux garanties litigieuses, celui-ci aurait été abusif. Dans la mesure où le bien-fondé de cette question a trait à l' art. 2 CC , le Tribunal fédéral aurait dû l'examiner d'office. a) Lorsqu'une garantie indépendante est délivrée, le garant doit honorer son engagement sans égard à un éventuel litige relatif au contrat de base, aussitôt après l'appel du bénéficiaire, si les conditions de mises en jeu, telles que précisées dans la lettre d'engagement, sont réunies ( ATF 122 III 275 consid. 3a/aa et les références). Le garant appelé à exécuter son engagement ne peut donc opposer au bénéficiaire d'autres exceptions que celles tirées du contrat de garantie et ne peut exiger de lui d'autres justifications que celles que stipulait, le cas échéant, ce contrat (SIMLER, Cautionnement et garanties autonomes, 2e éd. 1991, n. 860). Une garantie indépendante n'est cependant jamais totalement "dégagée" du contrat de base ( ATF 117 III 76 consid. 6b et la référence). Son caractère abstrait ou autonome trouve certaines limites, entre autres dans la loi; l'indépendance de la dette résultant d'un contrat de garantie cesse lorsque son bénéficiaire s'en prévaut au mépris manifeste des règles de la bonne foi ( art. 2 CC ; THÉVENOZ, Les garanties indépendantes devant les tribunaux suisses, in Journée 1994 de droit bancaire et financier, BGE 122 III 321 S. 323 p. 175 s.; DOHM, Les garanties bancaires dans le commerce international, n. 226; GUGGENHEIM, Les contrats de la pratique bancaire suisse, 2e éd. 1981, p. 188; cf. aussi SIMLER, op.cit., n. 929). La finalité d'un contrat de garantie est la couverture d'un risque particulier (cf. ROSSI, La garantie à première demande, thèse Fribourg 1989, n. 535), la fourniture d'une sûreté, et non un paiement pur et simple (GUGGENHEIM, op.cit., p. 179). La garantie n'est délivrée que pour le contrat de base; elle ne peut s'appliquer à un autre contrat (RIVES-LANGE/CONTAMINE-RAYNAUD, Droit bancaire, 6e éd. 1995, n. 795 ch. 2). Le droit d'obtenir le paiement de la garantie n'existe donc plus s'il doit servir une fin manifestement étrangère à l'objet de la garantie (PRUM, Les garanties à première demande, n. 448; cf. aussi l' art. 3 let . d des Règles uniformes relatives aux garanties sur demande du 1er avril 1992 [RUGD, Publication CCI no 458; ces règles sont aussi publiées in BF 95/71-1], duquel il ressort de façon univoque que la transaction de base constitue la cause de l'émission de la garantie). Il en découle que le bénéficiaire ne peut pas valablement demander le paiement de la garantie pour couvrir l'inexécution d'un autre contrat que le contrat de base (cf. LOGOZ, La protection de l'exportateur face à l'appel abusif à une garantie bancaire, thèse Lausanne 1991, p. 113). Lorsqu'une garantie est appelée pour couvrir une prétention qu'elle n'avait pas pour but d'assurer, l'appel est abusif (LOGOZ, op.cit., p. 153, qui se réfère à une décision du Handelsgericht de Zurich ayant jugé abusif un tel appel; cf. aussi SIMLER, op.cit., n. 928; DOHM, op.cit., n. 35 et 239). Dans ce cas, la contestation ne porte pas sur la réalisation effective du risque couvert, laquelle a trait au caractère justifié ou non du paiement de la garantie au regard du contrat de base (cf. PRUM, op.cit., n. 459). Dans la mesure où l'abus de droit du bénéficiaire est évident pour la banque, celle-ci a non seulement le droit de lui refuser le paiement, mais elle en a également l'obligation à l'égard du donneur d'ordre (DOHM, op.cit., n. 146).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